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pStyle w:val="Heading1"/>
        <w:keepNext w:val="0"/>
        <w:keepLines w:val="0"/>
        <w:spacing w:after="120" w:before="480" w:lineRule="auto"/>
        <w:contextualSpacing w:val="0"/>
      </w:pPr>
      <w:bookmarkStart w:colFirst="0" w:colLast="0" w:name="h.oyeo0xw6emg7" w:id="0"/>
      <w:bookmarkEnd w:id="0"/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0"/>
        </w:rPr>
        <w:t xml:space="preserve">ABBREVIATIONS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rtl w:val="0"/>
        </w:rPr>
        <w:t xml:space="preserve">There are many different abbreviations used in CT. They are part of the special vocabulary, or jargon, used to describe parts of the technology. Learn some of them *.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Read the expressions given in the table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Find the meaning for DVD in column 3 to the right of the main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Grab it and move it (or paste it) into its place next to DVD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When column three is empty, delete it.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Increase font size of heading. Centre and embolden it. (Ctrl E and Ctrl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Embolden (make bold) the table headings.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Insert </w:t>
        <w:tab/>
        <w:t xml:space="preserve">your name bottom right of the document. (Ctrl 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color w:val="ff0000"/>
          <w:rtl w:val="0"/>
        </w:rPr>
        <w:t xml:space="preserve">Delete </w:t>
        <w:tab/>
        <w:t xml:space="preserve">all these instructions.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ABBREVIATIONS IN COMPUTER TECHNOLOGY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925.0" w:type="dxa"/>
        <w:jc w:val="left"/>
        <w:tblLayout w:type="fixed"/>
        <w:tblLook w:val="0600"/>
      </w:tblPr>
      <w:tblGrid>
        <w:gridCol w:w="1745"/>
        <w:gridCol w:w="3935"/>
        <w:gridCol w:w="3245"/>
        <w:tblGridChange w:id="0">
          <w:tblGrid>
            <w:gridCol w:w="1745"/>
            <w:gridCol w:w="3935"/>
            <w:gridCol w:w="3245"/>
          </w:tblGrid>
        </w:tblGridChange>
      </w:tblGrid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Abbreviation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Meaning</w:t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DVD</w:t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Universal Serial Bus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USB</w:t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Read Only Memory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ROM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Megabyte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RAM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Central Processing Unit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CAD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Gigahertz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LAN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Digital </w:t>
              <w:tab/>
              <w:t xml:space="preserve">Versatile Disk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GHz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Random Access Memory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VDU</w:t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Computer Aided Design</w:t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Mb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Visual </w:t>
              <w:tab/>
              <w:t xml:space="preserve">Display Unit</w:t>
            </w:r>
          </w:p>
        </w:tc>
      </w:tr>
      <w:tr>
        <w:tc>
          <w:tcPr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CPU</w:t>
            </w:r>
          </w:p>
        </w:tc>
        <w:tc>
          <w:tcPr>
            <w:tcBorders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Local Area Network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